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9894" w14:textId="62262F16" w:rsidR="0076385F" w:rsidRDefault="00081871">
      <w:r>
        <w:rPr>
          <w:noProof/>
        </w:rPr>
        <w:drawing>
          <wp:anchor distT="36576" distB="36576" distL="36576" distR="36576" simplePos="0" relativeHeight="251658240" behindDoc="0" locked="0" layoutInCell="1" allowOverlap="1" wp14:anchorId="49CD97ED" wp14:editId="136E84D6">
            <wp:simplePos x="0" y="0"/>
            <wp:positionH relativeFrom="margin">
              <wp:align>center</wp:align>
            </wp:positionH>
            <wp:positionV relativeFrom="paragraph">
              <wp:posOffset>2540</wp:posOffset>
            </wp:positionV>
            <wp:extent cx="1021715" cy="1026795"/>
            <wp:effectExtent l="0" t="0" r="698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715" cy="1026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E93D06" w14:textId="27D70DCF" w:rsidR="00081871" w:rsidRPr="00081871" w:rsidRDefault="00081871" w:rsidP="00081871"/>
    <w:p w14:paraId="00399725" w14:textId="3C680ADB" w:rsidR="00081871" w:rsidRDefault="00081871" w:rsidP="00081871"/>
    <w:p w14:paraId="7E755809" w14:textId="2463439B" w:rsidR="00081871" w:rsidRDefault="00081871" w:rsidP="00081871">
      <w:pPr>
        <w:tabs>
          <w:tab w:val="left" w:pos="7500"/>
        </w:tabs>
      </w:pPr>
      <w:r>
        <w:tab/>
      </w:r>
    </w:p>
    <w:p w14:paraId="11830EE5" w14:textId="77777777" w:rsidR="00081871" w:rsidRPr="00742D5E" w:rsidRDefault="00081871" w:rsidP="00745C02">
      <w:pPr>
        <w:tabs>
          <w:tab w:val="left" w:pos="7500"/>
        </w:tabs>
        <w:jc w:val="center"/>
        <w:rPr>
          <w:b/>
          <w:bCs/>
          <w:sz w:val="32"/>
          <w:szCs w:val="32"/>
        </w:rPr>
      </w:pPr>
      <w:r w:rsidRPr="00742D5E">
        <w:rPr>
          <w:b/>
          <w:bCs/>
          <w:sz w:val="32"/>
          <w:szCs w:val="32"/>
        </w:rPr>
        <w:t>WILLOW PRIMARY ACADEMY</w:t>
      </w:r>
    </w:p>
    <w:p w14:paraId="607D53EA" w14:textId="2CB12A5E" w:rsidR="00081871" w:rsidRDefault="00081871" w:rsidP="00745C02">
      <w:pPr>
        <w:tabs>
          <w:tab w:val="left" w:pos="7500"/>
        </w:tabs>
        <w:jc w:val="center"/>
        <w:rPr>
          <w:b/>
          <w:bCs/>
          <w:sz w:val="24"/>
          <w:szCs w:val="24"/>
        </w:rPr>
      </w:pPr>
      <w:r w:rsidRPr="00742D5E">
        <w:rPr>
          <w:b/>
          <w:bCs/>
          <w:sz w:val="24"/>
          <w:szCs w:val="24"/>
        </w:rPr>
        <w:t>ASSESSMENT RESULTS</w:t>
      </w:r>
    </w:p>
    <w:p w14:paraId="56744BAF" w14:textId="22B2257E" w:rsidR="00635C96" w:rsidRPr="00742D5E" w:rsidRDefault="00635C96" w:rsidP="00745C02">
      <w:pPr>
        <w:tabs>
          <w:tab w:val="left" w:pos="7500"/>
        </w:tabs>
        <w:jc w:val="center"/>
        <w:rPr>
          <w:b/>
          <w:bCs/>
          <w:sz w:val="24"/>
          <w:szCs w:val="24"/>
        </w:rPr>
      </w:pPr>
      <w:r>
        <w:rPr>
          <w:b/>
          <w:bCs/>
          <w:sz w:val="24"/>
          <w:szCs w:val="24"/>
        </w:rPr>
        <w:t>2023 - 2024</w:t>
      </w:r>
    </w:p>
    <w:p w14:paraId="016CC746" w14:textId="795DB9EE" w:rsidR="00081871" w:rsidRPr="00081871" w:rsidRDefault="00081871" w:rsidP="00081871">
      <w:pPr>
        <w:tabs>
          <w:tab w:val="left" w:pos="7500"/>
        </w:tabs>
        <w:rPr>
          <w:b/>
          <w:bCs/>
        </w:rPr>
      </w:pPr>
      <w:r w:rsidRPr="00081871">
        <w:rPr>
          <w:b/>
          <w:bCs/>
        </w:rPr>
        <w:t xml:space="preserve">Standards and Progress </w:t>
      </w:r>
    </w:p>
    <w:p w14:paraId="4888568B" w14:textId="77777777" w:rsidR="00081871" w:rsidRDefault="00081871" w:rsidP="00081871">
      <w:pPr>
        <w:tabs>
          <w:tab w:val="left" w:pos="7500"/>
        </w:tabs>
      </w:pPr>
      <w:r>
        <w:t xml:space="preserve">At the end of KS2 (Y6) it is expected that children attain the expected standard. Those attaining a high level of attainment are working above the expected standard. Children are expected to gain a scaled score of 100 to meet the expected standard and 110 to meet the higher standard. </w:t>
      </w:r>
    </w:p>
    <w:p w14:paraId="180A0E95" w14:textId="77777777" w:rsidR="00081871" w:rsidRPr="00081871" w:rsidRDefault="00081871" w:rsidP="00081871">
      <w:pPr>
        <w:tabs>
          <w:tab w:val="left" w:pos="7500"/>
        </w:tabs>
        <w:rPr>
          <w:b/>
          <w:bCs/>
        </w:rPr>
      </w:pPr>
      <w:r w:rsidRPr="00081871">
        <w:rPr>
          <w:b/>
          <w:bCs/>
        </w:rPr>
        <w:t xml:space="preserve">Key Stage 2 Results </w:t>
      </w:r>
    </w:p>
    <w:p w14:paraId="7957B397" w14:textId="6ABA0C49" w:rsidR="00742D5E" w:rsidRDefault="00081871" w:rsidP="00081871">
      <w:pPr>
        <w:tabs>
          <w:tab w:val="left" w:pos="7500"/>
        </w:tabs>
      </w:pPr>
      <w:r>
        <w:t>The table shows the results for children achieving the expected standard and the higher score. The national average for each area is in brackets. The table also includes the average progress score, which is a comparison of how our pupils achieved compared to the national average of children with the same starting point at Key Stage 1. The table also includes average scaled scores, which are adjusted raw scores to allow comparisons between years. For more information on scaled scores or average progress please see the bottom of this report.</w:t>
      </w:r>
    </w:p>
    <w:tbl>
      <w:tblPr>
        <w:tblStyle w:val="TableGrid"/>
        <w:tblW w:w="0" w:type="auto"/>
        <w:tblLook w:val="04A0" w:firstRow="1" w:lastRow="0" w:firstColumn="1" w:lastColumn="0" w:noHBand="0" w:noVBand="1"/>
      </w:tblPr>
      <w:tblGrid>
        <w:gridCol w:w="2614"/>
        <w:gridCol w:w="2614"/>
        <w:gridCol w:w="2614"/>
        <w:gridCol w:w="2614"/>
      </w:tblGrid>
      <w:tr w:rsidR="00081871" w14:paraId="553E5B72" w14:textId="77777777" w:rsidTr="005316B3">
        <w:tc>
          <w:tcPr>
            <w:tcW w:w="10456" w:type="dxa"/>
            <w:gridSpan w:val="4"/>
          </w:tcPr>
          <w:p w14:paraId="5908D117" w14:textId="7789B485" w:rsidR="00D239CD" w:rsidRDefault="00081871" w:rsidP="00081871">
            <w:pPr>
              <w:tabs>
                <w:tab w:val="left" w:pos="7500"/>
              </w:tabs>
              <w:rPr>
                <w:b/>
                <w:bCs/>
                <w:sz w:val="24"/>
                <w:szCs w:val="24"/>
              </w:rPr>
            </w:pPr>
            <w:r w:rsidRPr="00742D5E">
              <w:rPr>
                <w:b/>
                <w:bCs/>
                <w:sz w:val="24"/>
                <w:szCs w:val="24"/>
              </w:rPr>
              <w:t xml:space="preserve">Key Stage 2 Results </w:t>
            </w:r>
            <w:r w:rsidR="00742D5E" w:rsidRPr="00742D5E">
              <w:rPr>
                <w:b/>
                <w:bCs/>
                <w:sz w:val="24"/>
                <w:szCs w:val="24"/>
              </w:rPr>
              <w:t>20</w:t>
            </w:r>
            <w:r w:rsidR="00BE4E6B">
              <w:rPr>
                <w:b/>
                <w:bCs/>
                <w:sz w:val="24"/>
                <w:szCs w:val="24"/>
              </w:rPr>
              <w:t>2</w:t>
            </w:r>
            <w:r w:rsidR="00730108">
              <w:rPr>
                <w:b/>
                <w:bCs/>
                <w:sz w:val="24"/>
                <w:szCs w:val="24"/>
              </w:rPr>
              <w:t>4</w:t>
            </w:r>
          </w:p>
          <w:p w14:paraId="2B9653C0" w14:textId="21240CA9" w:rsidR="00776EB2" w:rsidRDefault="00081871" w:rsidP="00081871">
            <w:pPr>
              <w:tabs>
                <w:tab w:val="left" w:pos="7500"/>
              </w:tabs>
              <w:rPr>
                <w:b/>
                <w:bCs/>
                <w:sz w:val="24"/>
                <w:szCs w:val="24"/>
              </w:rPr>
            </w:pPr>
            <w:r w:rsidRPr="00742D5E">
              <w:rPr>
                <w:b/>
                <w:bCs/>
                <w:sz w:val="24"/>
                <w:szCs w:val="24"/>
              </w:rPr>
              <w:t xml:space="preserve">Cohort </w:t>
            </w:r>
            <w:r w:rsidR="007171DF">
              <w:rPr>
                <w:b/>
                <w:bCs/>
                <w:sz w:val="24"/>
                <w:szCs w:val="24"/>
              </w:rPr>
              <w:t>29</w:t>
            </w:r>
            <w:r w:rsidRPr="00742D5E">
              <w:rPr>
                <w:b/>
                <w:bCs/>
                <w:sz w:val="24"/>
                <w:szCs w:val="24"/>
              </w:rPr>
              <w:t xml:space="preserve"> pupils</w:t>
            </w:r>
            <w:r w:rsidR="00BE4E6B">
              <w:rPr>
                <w:b/>
                <w:bCs/>
                <w:sz w:val="24"/>
                <w:szCs w:val="24"/>
              </w:rPr>
              <w:t xml:space="preserve"> including </w:t>
            </w:r>
            <w:r w:rsidR="00776EB2">
              <w:rPr>
                <w:b/>
                <w:bCs/>
                <w:sz w:val="24"/>
                <w:szCs w:val="24"/>
              </w:rPr>
              <w:t>f</w:t>
            </w:r>
            <w:r w:rsidR="0038262A">
              <w:rPr>
                <w:b/>
                <w:bCs/>
                <w:sz w:val="24"/>
                <w:szCs w:val="24"/>
              </w:rPr>
              <w:t>r</w:t>
            </w:r>
            <w:r w:rsidR="00776EB2">
              <w:rPr>
                <w:b/>
                <w:bCs/>
                <w:sz w:val="24"/>
                <w:szCs w:val="24"/>
              </w:rPr>
              <w:t>om Specialist Resource Centre</w:t>
            </w:r>
            <w:r w:rsidR="00BE4E6B">
              <w:rPr>
                <w:b/>
                <w:bCs/>
                <w:sz w:val="24"/>
                <w:szCs w:val="24"/>
              </w:rPr>
              <w:t xml:space="preserve"> </w:t>
            </w:r>
          </w:p>
          <w:p w14:paraId="159A2306" w14:textId="35A9988D" w:rsidR="00081871" w:rsidRPr="00081871" w:rsidRDefault="00BE4E6B" w:rsidP="00081871">
            <w:pPr>
              <w:tabs>
                <w:tab w:val="left" w:pos="7500"/>
              </w:tabs>
              <w:rPr>
                <w:b/>
                <w:bCs/>
              </w:rPr>
            </w:pPr>
            <w:r w:rsidRPr="00BE4E6B">
              <w:rPr>
                <w:b/>
                <w:bCs/>
                <w:color w:val="2E74B5" w:themeColor="accent5" w:themeShade="BF"/>
                <w:sz w:val="24"/>
                <w:szCs w:val="24"/>
              </w:rPr>
              <w:t>(</w:t>
            </w:r>
            <w:r>
              <w:rPr>
                <w:b/>
                <w:bCs/>
                <w:color w:val="2E74B5" w:themeColor="accent5" w:themeShade="BF"/>
                <w:sz w:val="24"/>
                <w:szCs w:val="24"/>
              </w:rPr>
              <w:t>2</w:t>
            </w:r>
            <w:r w:rsidR="007171DF">
              <w:rPr>
                <w:b/>
                <w:bCs/>
                <w:color w:val="2E74B5" w:themeColor="accent5" w:themeShade="BF"/>
                <w:sz w:val="24"/>
                <w:szCs w:val="24"/>
              </w:rPr>
              <w:t>8</w:t>
            </w:r>
            <w:r>
              <w:rPr>
                <w:b/>
                <w:bCs/>
                <w:color w:val="2E74B5" w:themeColor="accent5" w:themeShade="BF"/>
                <w:sz w:val="24"/>
                <w:szCs w:val="24"/>
              </w:rPr>
              <w:t xml:space="preserve"> pupils </w:t>
            </w:r>
            <w:r w:rsidRPr="00BE4E6B">
              <w:rPr>
                <w:b/>
                <w:bCs/>
                <w:color w:val="2E74B5" w:themeColor="accent5" w:themeShade="BF"/>
                <w:sz w:val="24"/>
                <w:szCs w:val="24"/>
              </w:rPr>
              <w:t>excluding centre pupils)</w:t>
            </w:r>
          </w:p>
        </w:tc>
      </w:tr>
      <w:tr w:rsidR="00B50E4F" w14:paraId="23657EE5" w14:textId="77777777" w:rsidTr="007B06B6">
        <w:tc>
          <w:tcPr>
            <w:tcW w:w="2614" w:type="dxa"/>
            <w:vAlign w:val="center"/>
          </w:tcPr>
          <w:p w14:paraId="5446FC14" w14:textId="6DC65B83" w:rsidR="00B50E4F" w:rsidRPr="00081871" w:rsidRDefault="00B50E4F" w:rsidP="007B06B6">
            <w:pPr>
              <w:tabs>
                <w:tab w:val="left" w:pos="7500"/>
              </w:tabs>
              <w:rPr>
                <w:b/>
                <w:bCs/>
              </w:rPr>
            </w:pPr>
            <w:r w:rsidRPr="00081871">
              <w:rPr>
                <w:b/>
                <w:bCs/>
              </w:rPr>
              <w:t>Subject</w:t>
            </w:r>
          </w:p>
        </w:tc>
        <w:tc>
          <w:tcPr>
            <w:tcW w:w="2614" w:type="dxa"/>
          </w:tcPr>
          <w:p w14:paraId="2BE18D26" w14:textId="77777777" w:rsidR="00B50E4F" w:rsidRPr="00081871" w:rsidRDefault="00B50E4F" w:rsidP="00081871">
            <w:pPr>
              <w:tabs>
                <w:tab w:val="left" w:pos="7500"/>
              </w:tabs>
              <w:rPr>
                <w:b/>
                <w:bCs/>
              </w:rPr>
            </w:pPr>
            <w:r w:rsidRPr="00081871">
              <w:rPr>
                <w:b/>
                <w:bCs/>
              </w:rPr>
              <w:t>Achieved Expected Standard</w:t>
            </w:r>
          </w:p>
          <w:p w14:paraId="42417909" w14:textId="4FC00E9E" w:rsidR="00B50E4F" w:rsidRPr="00081871" w:rsidRDefault="00B50E4F" w:rsidP="00081871">
            <w:pPr>
              <w:tabs>
                <w:tab w:val="left" w:pos="7500"/>
              </w:tabs>
              <w:rPr>
                <w:b/>
                <w:bCs/>
              </w:rPr>
            </w:pPr>
            <w:r w:rsidRPr="00081871">
              <w:rPr>
                <w:b/>
                <w:bCs/>
                <w:color w:val="FF0000"/>
              </w:rPr>
              <w:t>(National)</w:t>
            </w:r>
          </w:p>
        </w:tc>
        <w:tc>
          <w:tcPr>
            <w:tcW w:w="2614" w:type="dxa"/>
          </w:tcPr>
          <w:p w14:paraId="3A5968DB" w14:textId="77777777" w:rsidR="00B50E4F" w:rsidRPr="00081871" w:rsidRDefault="00B50E4F" w:rsidP="00081871">
            <w:pPr>
              <w:tabs>
                <w:tab w:val="left" w:pos="7500"/>
              </w:tabs>
              <w:rPr>
                <w:b/>
                <w:bCs/>
              </w:rPr>
            </w:pPr>
            <w:r w:rsidRPr="00081871">
              <w:rPr>
                <w:b/>
                <w:bCs/>
              </w:rPr>
              <w:t>Achieved a high level of attainment</w:t>
            </w:r>
          </w:p>
          <w:p w14:paraId="64CD2C14" w14:textId="188C432C" w:rsidR="00B50E4F" w:rsidRPr="00081871" w:rsidRDefault="00B50E4F" w:rsidP="00081871">
            <w:pPr>
              <w:tabs>
                <w:tab w:val="left" w:pos="7500"/>
              </w:tabs>
              <w:rPr>
                <w:b/>
                <w:bCs/>
              </w:rPr>
            </w:pPr>
            <w:r w:rsidRPr="00081871">
              <w:rPr>
                <w:b/>
                <w:bCs/>
                <w:color w:val="FF0000"/>
              </w:rPr>
              <w:t>(National)</w:t>
            </w:r>
          </w:p>
        </w:tc>
        <w:tc>
          <w:tcPr>
            <w:tcW w:w="2614" w:type="dxa"/>
          </w:tcPr>
          <w:p w14:paraId="6B642CBF" w14:textId="77777777" w:rsidR="00B50E4F" w:rsidRPr="00081871" w:rsidRDefault="00B50E4F" w:rsidP="00081871">
            <w:pPr>
              <w:tabs>
                <w:tab w:val="left" w:pos="7500"/>
              </w:tabs>
              <w:rPr>
                <w:b/>
                <w:bCs/>
              </w:rPr>
            </w:pPr>
            <w:r w:rsidRPr="00081871">
              <w:rPr>
                <w:b/>
                <w:bCs/>
              </w:rPr>
              <w:t>Average Scaled Score</w:t>
            </w:r>
          </w:p>
          <w:p w14:paraId="3EFDA310" w14:textId="143BDE31" w:rsidR="00B50E4F" w:rsidRPr="00081871" w:rsidRDefault="00B50E4F" w:rsidP="00081871">
            <w:pPr>
              <w:tabs>
                <w:tab w:val="left" w:pos="7500"/>
              </w:tabs>
              <w:rPr>
                <w:b/>
                <w:bCs/>
              </w:rPr>
            </w:pPr>
            <w:r w:rsidRPr="00081871">
              <w:rPr>
                <w:b/>
                <w:bCs/>
                <w:color w:val="FF0000"/>
              </w:rPr>
              <w:t>(National)</w:t>
            </w:r>
          </w:p>
        </w:tc>
      </w:tr>
      <w:tr w:rsidR="00B50E4F" w14:paraId="2CD0DF8C" w14:textId="77777777" w:rsidTr="007B06B6">
        <w:tc>
          <w:tcPr>
            <w:tcW w:w="2614" w:type="dxa"/>
            <w:vAlign w:val="center"/>
          </w:tcPr>
          <w:p w14:paraId="779E6EE7" w14:textId="77777777" w:rsidR="00B50E4F" w:rsidRDefault="00B50E4F" w:rsidP="007B06B6">
            <w:pPr>
              <w:tabs>
                <w:tab w:val="left" w:pos="7500"/>
              </w:tabs>
              <w:rPr>
                <w:b/>
                <w:bCs/>
              </w:rPr>
            </w:pPr>
          </w:p>
          <w:p w14:paraId="5DD7C652" w14:textId="33FFCE69" w:rsidR="00B50E4F" w:rsidRDefault="00B50E4F" w:rsidP="007B06B6">
            <w:pPr>
              <w:tabs>
                <w:tab w:val="left" w:pos="7500"/>
              </w:tabs>
              <w:rPr>
                <w:b/>
                <w:bCs/>
              </w:rPr>
            </w:pPr>
            <w:r w:rsidRPr="00081871">
              <w:rPr>
                <w:b/>
                <w:bCs/>
              </w:rPr>
              <w:t>Reading</w:t>
            </w:r>
          </w:p>
          <w:p w14:paraId="07C1E81E" w14:textId="31492330" w:rsidR="00B50E4F" w:rsidRPr="00081871" w:rsidRDefault="00B50E4F" w:rsidP="007B06B6">
            <w:pPr>
              <w:tabs>
                <w:tab w:val="left" w:pos="7500"/>
              </w:tabs>
              <w:rPr>
                <w:b/>
                <w:bCs/>
              </w:rPr>
            </w:pPr>
          </w:p>
        </w:tc>
        <w:tc>
          <w:tcPr>
            <w:tcW w:w="2614" w:type="dxa"/>
          </w:tcPr>
          <w:p w14:paraId="486289FD" w14:textId="3D1A4C0F" w:rsidR="00E51489" w:rsidRDefault="00CC02AB" w:rsidP="00081871">
            <w:pPr>
              <w:tabs>
                <w:tab w:val="left" w:pos="7500"/>
              </w:tabs>
            </w:pPr>
            <w:r>
              <w:t>45</w:t>
            </w:r>
            <w:r w:rsidR="00E51489">
              <w:t>%</w:t>
            </w:r>
          </w:p>
          <w:p w14:paraId="54115CC3" w14:textId="3C6946A5" w:rsidR="00E51489" w:rsidRDefault="0099439C" w:rsidP="00081871">
            <w:pPr>
              <w:tabs>
                <w:tab w:val="left" w:pos="7500"/>
              </w:tabs>
            </w:pPr>
            <w:r>
              <w:rPr>
                <w:color w:val="2E74B5" w:themeColor="accent5" w:themeShade="BF"/>
              </w:rPr>
              <w:t>47</w:t>
            </w:r>
            <w:r w:rsidR="00B50E4F">
              <w:rPr>
                <w:color w:val="2E74B5" w:themeColor="accent5" w:themeShade="BF"/>
              </w:rPr>
              <w:t>%</w:t>
            </w:r>
            <w:r w:rsidR="00B50E4F">
              <w:t xml:space="preserve"> </w:t>
            </w:r>
          </w:p>
          <w:p w14:paraId="34F280F8" w14:textId="0ABF5F79" w:rsidR="00B50E4F" w:rsidRPr="00BE4E6B" w:rsidRDefault="00B50E4F" w:rsidP="00081871">
            <w:pPr>
              <w:tabs>
                <w:tab w:val="left" w:pos="7500"/>
              </w:tabs>
              <w:rPr>
                <w:color w:val="FF0000"/>
              </w:rPr>
            </w:pPr>
            <w:r>
              <w:rPr>
                <w:color w:val="FF0000"/>
              </w:rPr>
              <w:t>(7</w:t>
            </w:r>
            <w:r w:rsidR="00DB452D">
              <w:rPr>
                <w:color w:val="FF0000"/>
              </w:rPr>
              <w:t>4</w:t>
            </w:r>
            <w:r>
              <w:rPr>
                <w:color w:val="FF0000"/>
              </w:rPr>
              <w:t>%)</w:t>
            </w:r>
          </w:p>
        </w:tc>
        <w:tc>
          <w:tcPr>
            <w:tcW w:w="2614" w:type="dxa"/>
          </w:tcPr>
          <w:p w14:paraId="146414B8" w14:textId="77777777" w:rsidR="00B50E4F" w:rsidRDefault="00B50E4F" w:rsidP="00081871">
            <w:pPr>
              <w:tabs>
                <w:tab w:val="left" w:pos="7500"/>
              </w:tabs>
            </w:pPr>
          </w:p>
          <w:p w14:paraId="564A7B2A" w14:textId="338A285C" w:rsidR="00B50E4F" w:rsidRPr="00742D5E" w:rsidRDefault="004845FD" w:rsidP="00081871">
            <w:pPr>
              <w:tabs>
                <w:tab w:val="left" w:pos="7500"/>
              </w:tabs>
              <w:rPr>
                <w:color w:val="FF0000"/>
              </w:rPr>
            </w:pPr>
            <w:r>
              <w:rPr>
                <w:color w:val="2E74B5" w:themeColor="accent5" w:themeShade="BF"/>
              </w:rPr>
              <w:t>18</w:t>
            </w:r>
            <w:r w:rsidR="00B50E4F" w:rsidRPr="00F530E0">
              <w:rPr>
                <w:color w:val="2E74B5" w:themeColor="accent5" w:themeShade="BF"/>
              </w:rPr>
              <w:t>%</w:t>
            </w:r>
            <w:r w:rsidR="00B50E4F">
              <w:t xml:space="preserve"> </w:t>
            </w:r>
          </w:p>
        </w:tc>
        <w:tc>
          <w:tcPr>
            <w:tcW w:w="2614" w:type="dxa"/>
            <w:vAlign w:val="center"/>
          </w:tcPr>
          <w:p w14:paraId="1C5F9B1B" w14:textId="10952AAE" w:rsidR="00CD23A8" w:rsidRPr="00CD23A8" w:rsidRDefault="00CD23A8" w:rsidP="00383944">
            <w:pPr>
              <w:tabs>
                <w:tab w:val="left" w:pos="7500"/>
              </w:tabs>
            </w:pPr>
            <w:r w:rsidRPr="00CD23A8">
              <w:t>98.8</w:t>
            </w:r>
          </w:p>
          <w:p w14:paraId="4DE03151" w14:textId="0A488D41" w:rsidR="00B50E4F" w:rsidRDefault="00B50E4F" w:rsidP="00383944">
            <w:pPr>
              <w:tabs>
                <w:tab w:val="left" w:pos="7500"/>
              </w:tabs>
            </w:pPr>
            <w:r>
              <w:rPr>
                <w:color w:val="FF0000"/>
              </w:rPr>
              <w:t>(10</w:t>
            </w:r>
            <w:r w:rsidR="002C0868">
              <w:rPr>
                <w:color w:val="FF0000"/>
              </w:rPr>
              <w:t>5</w:t>
            </w:r>
            <w:r>
              <w:rPr>
                <w:color w:val="FF0000"/>
              </w:rPr>
              <w:t>)</w:t>
            </w:r>
          </w:p>
        </w:tc>
      </w:tr>
      <w:tr w:rsidR="00B50E4F" w14:paraId="53897107" w14:textId="77777777" w:rsidTr="007B06B6">
        <w:tc>
          <w:tcPr>
            <w:tcW w:w="2614" w:type="dxa"/>
            <w:vAlign w:val="center"/>
          </w:tcPr>
          <w:p w14:paraId="04C1D423" w14:textId="77777777" w:rsidR="00B50E4F" w:rsidRDefault="00B50E4F" w:rsidP="007B06B6">
            <w:pPr>
              <w:tabs>
                <w:tab w:val="left" w:pos="7500"/>
              </w:tabs>
              <w:rPr>
                <w:b/>
                <w:bCs/>
              </w:rPr>
            </w:pPr>
          </w:p>
          <w:p w14:paraId="677DD7B7" w14:textId="7AE02A40" w:rsidR="00B50E4F" w:rsidRDefault="00B50E4F" w:rsidP="007B06B6">
            <w:pPr>
              <w:tabs>
                <w:tab w:val="left" w:pos="7500"/>
              </w:tabs>
              <w:rPr>
                <w:b/>
                <w:bCs/>
              </w:rPr>
            </w:pPr>
            <w:r w:rsidRPr="00081871">
              <w:rPr>
                <w:b/>
                <w:bCs/>
              </w:rPr>
              <w:t>Writing</w:t>
            </w:r>
          </w:p>
          <w:p w14:paraId="641CD6A6" w14:textId="39E0287B" w:rsidR="00B50E4F" w:rsidRPr="00081871" w:rsidRDefault="00B50E4F" w:rsidP="007B06B6">
            <w:pPr>
              <w:tabs>
                <w:tab w:val="left" w:pos="7500"/>
              </w:tabs>
              <w:rPr>
                <w:b/>
                <w:bCs/>
              </w:rPr>
            </w:pPr>
          </w:p>
        </w:tc>
        <w:tc>
          <w:tcPr>
            <w:tcW w:w="2614" w:type="dxa"/>
          </w:tcPr>
          <w:p w14:paraId="1D6FB87E" w14:textId="105F44ED" w:rsidR="000071FA" w:rsidRDefault="00B81761" w:rsidP="00081871">
            <w:pPr>
              <w:tabs>
                <w:tab w:val="left" w:pos="7500"/>
              </w:tabs>
            </w:pPr>
            <w:r>
              <w:t>45</w:t>
            </w:r>
            <w:r w:rsidR="00B50E4F">
              <w:t>%</w:t>
            </w:r>
          </w:p>
          <w:p w14:paraId="6AFB6FBB" w14:textId="70E5FDB6" w:rsidR="000071FA" w:rsidRDefault="00FC008C" w:rsidP="00081871">
            <w:pPr>
              <w:tabs>
                <w:tab w:val="left" w:pos="7500"/>
              </w:tabs>
            </w:pPr>
            <w:r>
              <w:rPr>
                <w:color w:val="2E74B5" w:themeColor="accent5" w:themeShade="BF"/>
              </w:rPr>
              <w:t>46</w:t>
            </w:r>
            <w:r w:rsidR="00B50E4F">
              <w:rPr>
                <w:color w:val="2E74B5" w:themeColor="accent5" w:themeShade="BF"/>
              </w:rPr>
              <w:t>%</w:t>
            </w:r>
            <w:r w:rsidR="00B50E4F">
              <w:t xml:space="preserve"> </w:t>
            </w:r>
          </w:p>
          <w:p w14:paraId="41638183" w14:textId="0A2D97E7" w:rsidR="00B50E4F" w:rsidRPr="000071FA" w:rsidRDefault="00F02798" w:rsidP="00081871">
            <w:pPr>
              <w:tabs>
                <w:tab w:val="left" w:pos="7500"/>
              </w:tabs>
            </w:pPr>
            <w:r>
              <w:rPr>
                <w:color w:val="FF0000"/>
              </w:rPr>
              <w:t>7</w:t>
            </w:r>
            <w:r w:rsidR="00556FE8">
              <w:rPr>
                <w:color w:val="FF0000"/>
              </w:rPr>
              <w:t>2</w:t>
            </w:r>
            <w:r w:rsidR="00B50E4F">
              <w:rPr>
                <w:color w:val="FF0000"/>
              </w:rPr>
              <w:t>%</w:t>
            </w:r>
          </w:p>
        </w:tc>
        <w:tc>
          <w:tcPr>
            <w:tcW w:w="2614" w:type="dxa"/>
          </w:tcPr>
          <w:p w14:paraId="72F8C733" w14:textId="77777777" w:rsidR="00B50E4F" w:rsidRDefault="00B50E4F" w:rsidP="00081871">
            <w:pPr>
              <w:tabs>
                <w:tab w:val="left" w:pos="7500"/>
              </w:tabs>
            </w:pPr>
          </w:p>
          <w:p w14:paraId="216C44F3" w14:textId="23FD0B40" w:rsidR="00B50E4F" w:rsidRPr="00742D5E" w:rsidRDefault="00FC008C" w:rsidP="00081871">
            <w:pPr>
              <w:tabs>
                <w:tab w:val="left" w:pos="7500"/>
              </w:tabs>
              <w:rPr>
                <w:color w:val="FF0000"/>
              </w:rPr>
            </w:pPr>
            <w:r>
              <w:rPr>
                <w:color w:val="2E74B5" w:themeColor="accent5" w:themeShade="BF"/>
              </w:rPr>
              <w:t>14</w:t>
            </w:r>
            <w:r w:rsidR="00B50E4F" w:rsidRPr="00F530E0">
              <w:rPr>
                <w:color w:val="2E74B5" w:themeColor="accent5" w:themeShade="BF"/>
              </w:rPr>
              <w:t xml:space="preserve">% </w:t>
            </w:r>
          </w:p>
        </w:tc>
        <w:tc>
          <w:tcPr>
            <w:tcW w:w="2614" w:type="dxa"/>
            <w:vAlign w:val="center"/>
          </w:tcPr>
          <w:p w14:paraId="31BDA5AB" w14:textId="1F27FB51" w:rsidR="00B50E4F" w:rsidRDefault="00B50E4F" w:rsidP="00383944">
            <w:pPr>
              <w:tabs>
                <w:tab w:val="left" w:pos="7500"/>
              </w:tabs>
            </w:pPr>
            <w:r>
              <w:t>N</w:t>
            </w:r>
            <w:r w:rsidR="00383944">
              <w:t xml:space="preserve"> </w:t>
            </w:r>
            <w:r>
              <w:t>/</w:t>
            </w:r>
            <w:r w:rsidR="00383944">
              <w:t xml:space="preserve"> </w:t>
            </w:r>
            <w:r>
              <w:t>A</w:t>
            </w:r>
          </w:p>
        </w:tc>
      </w:tr>
      <w:tr w:rsidR="00B50E4F" w14:paraId="068526C9" w14:textId="77777777" w:rsidTr="007B06B6">
        <w:tc>
          <w:tcPr>
            <w:tcW w:w="2614" w:type="dxa"/>
            <w:vAlign w:val="center"/>
          </w:tcPr>
          <w:p w14:paraId="01D1BF5A" w14:textId="77777777" w:rsidR="00B50E4F" w:rsidRDefault="00B50E4F" w:rsidP="007B06B6">
            <w:pPr>
              <w:tabs>
                <w:tab w:val="left" w:pos="7500"/>
              </w:tabs>
              <w:rPr>
                <w:b/>
                <w:bCs/>
              </w:rPr>
            </w:pPr>
          </w:p>
          <w:p w14:paraId="06F1E998" w14:textId="6E34FCC3" w:rsidR="00B50E4F" w:rsidRDefault="00B50E4F" w:rsidP="007B06B6">
            <w:pPr>
              <w:tabs>
                <w:tab w:val="left" w:pos="7500"/>
              </w:tabs>
              <w:rPr>
                <w:b/>
                <w:bCs/>
              </w:rPr>
            </w:pPr>
            <w:r w:rsidRPr="00081871">
              <w:rPr>
                <w:b/>
                <w:bCs/>
              </w:rPr>
              <w:t>Maths</w:t>
            </w:r>
          </w:p>
          <w:p w14:paraId="5AC20690" w14:textId="61C969EF" w:rsidR="00B50E4F" w:rsidRPr="00081871" w:rsidRDefault="00B50E4F" w:rsidP="007B06B6">
            <w:pPr>
              <w:tabs>
                <w:tab w:val="left" w:pos="7500"/>
              </w:tabs>
              <w:rPr>
                <w:b/>
                <w:bCs/>
              </w:rPr>
            </w:pPr>
          </w:p>
        </w:tc>
        <w:tc>
          <w:tcPr>
            <w:tcW w:w="2614" w:type="dxa"/>
          </w:tcPr>
          <w:p w14:paraId="7668A221" w14:textId="0A0FEDDA" w:rsidR="000071FA" w:rsidRDefault="00CF683F" w:rsidP="00081871">
            <w:pPr>
              <w:tabs>
                <w:tab w:val="left" w:pos="7500"/>
              </w:tabs>
            </w:pPr>
            <w:r>
              <w:t>48</w:t>
            </w:r>
            <w:r w:rsidR="00B50E4F">
              <w:t>%</w:t>
            </w:r>
          </w:p>
          <w:p w14:paraId="2CC84DB2" w14:textId="0E951C1E" w:rsidR="000071FA" w:rsidRDefault="003E76B7" w:rsidP="00081871">
            <w:pPr>
              <w:tabs>
                <w:tab w:val="left" w:pos="7500"/>
              </w:tabs>
              <w:rPr>
                <w:color w:val="2E74B5" w:themeColor="accent5" w:themeShade="BF"/>
              </w:rPr>
            </w:pPr>
            <w:r>
              <w:rPr>
                <w:color w:val="2E74B5" w:themeColor="accent5" w:themeShade="BF"/>
              </w:rPr>
              <w:t>50</w:t>
            </w:r>
            <w:r w:rsidR="00B50E4F" w:rsidRPr="00BE4E6B">
              <w:rPr>
                <w:color w:val="2E74B5" w:themeColor="accent5" w:themeShade="BF"/>
              </w:rPr>
              <w:t xml:space="preserve">% </w:t>
            </w:r>
          </w:p>
          <w:p w14:paraId="6082A72A" w14:textId="387AAA38" w:rsidR="00B50E4F" w:rsidRPr="00081871" w:rsidRDefault="00B50E4F" w:rsidP="00081871">
            <w:pPr>
              <w:tabs>
                <w:tab w:val="left" w:pos="7500"/>
              </w:tabs>
              <w:rPr>
                <w:color w:val="FF0000"/>
              </w:rPr>
            </w:pPr>
            <w:r>
              <w:rPr>
                <w:color w:val="FF0000"/>
              </w:rPr>
              <w:t>7</w:t>
            </w:r>
            <w:r w:rsidR="00F02798">
              <w:rPr>
                <w:color w:val="FF0000"/>
              </w:rPr>
              <w:t>3</w:t>
            </w:r>
            <w:r>
              <w:rPr>
                <w:color w:val="FF0000"/>
              </w:rPr>
              <w:t>%</w:t>
            </w:r>
          </w:p>
        </w:tc>
        <w:tc>
          <w:tcPr>
            <w:tcW w:w="2614" w:type="dxa"/>
          </w:tcPr>
          <w:p w14:paraId="40BC7222" w14:textId="77777777" w:rsidR="00B50E4F" w:rsidRDefault="00B50E4F" w:rsidP="00081871">
            <w:pPr>
              <w:tabs>
                <w:tab w:val="left" w:pos="7500"/>
              </w:tabs>
            </w:pPr>
          </w:p>
          <w:p w14:paraId="0F53E2D5" w14:textId="563B1CCC" w:rsidR="00B50E4F" w:rsidRPr="00742D5E" w:rsidRDefault="004845FD" w:rsidP="00081871">
            <w:pPr>
              <w:tabs>
                <w:tab w:val="left" w:pos="7500"/>
              </w:tabs>
              <w:rPr>
                <w:color w:val="FF0000"/>
              </w:rPr>
            </w:pPr>
            <w:r>
              <w:rPr>
                <w:color w:val="2E74B5" w:themeColor="accent5" w:themeShade="BF"/>
              </w:rPr>
              <w:t>4</w:t>
            </w:r>
            <w:r w:rsidR="00B50E4F" w:rsidRPr="00F530E0">
              <w:rPr>
                <w:color w:val="2E74B5" w:themeColor="accent5" w:themeShade="BF"/>
              </w:rPr>
              <w:t>%</w:t>
            </w:r>
            <w:r w:rsidR="00B50E4F">
              <w:t xml:space="preserve"> </w:t>
            </w:r>
          </w:p>
        </w:tc>
        <w:tc>
          <w:tcPr>
            <w:tcW w:w="2614" w:type="dxa"/>
            <w:vAlign w:val="center"/>
          </w:tcPr>
          <w:p w14:paraId="2EE8B237" w14:textId="65BAFCF6" w:rsidR="00940747" w:rsidRPr="00DB452D" w:rsidRDefault="00DB452D" w:rsidP="00383944">
            <w:pPr>
              <w:tabs>
                <w:tab w:val="left" w:pos="7500"/>
              </w:tabs>
            </w:pPr>
            <w:r w:rsidRPr="00DB452D">
              <w:t>99.4</w:t>
            </w:r>
          </w:p>
          <w:p w14:paraId="2FAFCE2B" w14:textId="5F3FD559" w:rsidR="00B50E4F" w:rsidRDefault="00B50E4F" w:rsidP="00383944">
            <w:pPr>
              <w:tabs>
                <w:tab w:val="left" w:pos="7500"/>
              </w:tabs>
            </w:pPr>
            <w:r>
              <w:rPr>
                <w:color w:val="FF0000"/>
              </w:rPr>
              <w:t>(10</w:t>
            </w:r>
            <w:r w:rsidR="003C3C61">
              <w:rPr>
                <w:color w:val="FF0000"/>
              </w:rPr>
              <w:t>4</w:t>
            </w:r>
            <w:r>
              <w:rPr>
                <w:color w:val="FF0000"/>
              </w:rPr>
              <w:t>)</w:t>
            </w:r>
          </w:p>
        </w:tc>
      </w:tr>
      <w:tr w:rsidR="00B50E4F" w14:paraId="0718377B" w14:textId="77777777" w:rsidTr="007B06B6">
        <w:tc>
          <w:tcPr>
            <w:tcW w:w="2614" w:type="dxa"/>
            <w:vAlign w:val="center"/>
          </w:tcPr>
          <w:p w14:paraId="19A84CC1" w14:textId="77777777" w:rsidR="00B50E4F" w:rsidRDefault="00B50E4F" w:rsidP="007B06B6">
            <w:pPr>
              <w:tabs>
                <w:tab w:val="left" w:pos="7500"/>
              </w:tabs>
              <w:rPr>
                <w:b/>
                <w:bCs/>
              </w:rPr>
            </w:pPr>
          </w:p>
          <w:p w14:paraId="1D023986" w14:textId="5E41B421" w:rsidR="00B50E4F" w:rsidRDefault="00B50E4F" w:rsidP="007B06B6">
            <w:pPr>
              <w:tabs>
                <w:tab w:val="left" w:pos="7500"/>
              </w:tabs>
              <w:rPr>
                <w:b/>
                <w:bCs/>
              </w:rPr>
            </w:pPr>
            <w:r w:rsidRPr="00081871">
              <w:rPr>
                <w:b/>
                <w:bCs/>
              </w:rPr>
              <w:t>RWM (Combined)</w:t>
            </w:r>
          </w:p>
          <w:p w14:paraId="3D2D945B" w14:textId="099B11B0" w:rsidR="00B50E4F" w:rsidRPr="00081871" w:rsidRDefault="00B50E4F" w:rsidP="007B06B6">
            <w:pPr>
              <w:tabs>
                <w:tab w:val="left" w:pos="7500"/>
              </w:tabs>
              <w:rPr>
                <w:b/>
                <w:bCs/>
              </w:rPr>
            </w:pPr>
          </w:p>
        </w:tc>
        <w:tc>
          <w:tcPr>
            <w:tcW w:w="2614" w:type="dxa"/>
          </w:tcPr>
          <w:p w14:paraId="5063530D" w14:textId="309FE3B6" w:rsidR="000071FA" w:rsidRDefault="00CF683F" w:rsidP="00081871">
            <w:pPr>
              <w:tabs>
                <w:tab w:val="left" w:pos="7500"/>
              </w:tabs>
            </w:pPr>
            <w:r>
              <w:t>34</w:t>
            </w:r>
            <w:r w:rsidR="00B50E4F">
              <w:t>%</w:t>
            </w:r>
          </w:p>
          <w:p w14:paraId="64CE7AA1" w14:textId="32158F9D" w:rsidR="000071FA" w:rsidRDefault="00D25F02" w:rsidP="00081871">
            <w:pPr>
              <w:tabs>
                <w:tab w:val="left" w:pos="7500"/>
              </w:tabs>
              <w:rPr>
                <w:color w:val="2E74B5" w:themeColor="accent5" w:themeShade="BF"/>
              </w:rPr>
            </w:pPr>
            <w:r>
              <w:rPr>
                <w:color w:val="2E74B5" w:themeColor="accent5" w:themeShade="BF"/>
              </w:rPr>
              <w:t>36</w:t>
            </w:r>
            <w:r w:rsidR="00B50E4F">
              <w:rPr>
                <w:color w:val="2E74B5" w:themeColor="accent5" w:themeShade="BF"/>
              </w:rPr>
              <w:t>%</w:t>
            </w:r>
          </w:p>
          <w:p w14:paraId="18A14EC3" w14:textId="1D9FFFFD" w:rsidR="00B50E4F" w:rsidRPr="00081871" w:rsidRDefault="00556FE8" w:rsidP="00081871">
            <w:pPr>
              <w:tabs>
                <w:tab w:val="left" w:pos="7500"/>
              </w:tabs>
              <w:rPr>
                <w:color w:val="FF0000"/>
              </w:rPr>
            </w:pPr>
            <w:r>
              <w:rPr>
                <w:color w:val="FF0000"/>
              </w:rPr>
              <w:t>61</w:t>
            </w:r>
            <w:r w:rsidR="00B50E4F">
              <w:rPr>
                <w:color w:val="FF0000"/>
              </w:rPr>
              <w:t>%</w:t>
            </w:r>
          </w:p>
        </w:tc>
        <w:tc>
          <w:tcPr>
            <w:tcW w:w="2614" w:type="dxa"/>
          </w:tcPr>
          <w:p w14:paraId="00E66336" w14:textId="77777777" w:rsidR="00B50E4F" w:rsidRDefault="00B50E4F" w:rsidP="00081871">
            <w:pPr>
              <w:tabs>
                <w:tab w:val="left" w:pos="7500"/>
              </w:tabs>
            </w:pPr>
          </w:p>
          <w:p w14:paraId="7F57514C" w14:textId="00333994" w:rsidR="00B50E4F" w:rsidRPr="00742D5E" w:rsidRDefault="00D25F02" w:rsidP="00081871">
            <w:pPr>
              <w:tabs>
                <w:tab w:val="left" w:pos="7500"/>
              </w:tabs>
              <w:rPr>
                <w:color w:val="FF0000"/>
              </w:rPr>
            </w:pPr>
            <w:r>
              <w:rPr>
                <w:color w:val="2E74B5" w:themeColor="accent5" w:themeShade="BF"/>
              </w:rPr>
              <w:t>4</w:t>
            </w:r>
            <w:r w:rsidR="00B50E4F" w:rsidRPr="00F530E0">
              <w:rPr>
                <w:color w:val="2E74B5" w:themeColor="accent5" w:themeShade="BF"/>
              </w:rPr>
              <w:t xml:space="preserve">% </w:t>
            </w:r>
          </w:p>
        </w:tc>
        <w:tc>
          <w:tcPr>
            <w:tcW w:w="2614" w:type="dxa"/>
            <w:vAlign w:val="center"/>
          </w:tcPr>
          <w:p w14:paraId="73BF25C0" w14:textId="20B95F69" w:rsidR="00B50E4F" w:rsidRDefault="00383944" w:rsidP="00383944">
            <w:pPr>
              <w:tabs>
                <w:tab w:val="left" w:pos="7500"/>
              </w:tabs>
            </w:pPr>
            <w:r>
              <w:t xml:space="preserve">N </w:t>
            </w:r>
            <w:r w:rsidR="00B50E4F">
              <w:t>/A</w:t>
            </w:r>
          </w:p>
        </w:tc>
      </w:tr>
      <w:tr w:rsidR="00B50E4F" w14:paraId="35227DBA" w14:textId="77777777" w:rsidTr="007B06B6">
        <w:tc>
          <w:tcPr>
            <w:tcW w:w="2614" w:type="dxa"/>
            <w:vAlign w:val="center"/>
          </w:tcPr>
          <w:p w14:paraId="4A046244" w14:textId="71115593" w:rsidR="00B50E4F" w:rsidRPr="00081871" w:rsidRDefault="00B50E4F" w:rsidP="007B06B6">
            <w:pPr>
              <w:tabs>
                <w:tab w:val="left" w:pos="7500"/>
              </w:tabs>
              <w:rPr>
                <w:b/>
                <w:bCs/>
              </w:rPr>
            </w:pPr>
            <w:r w:rsidRPr="00081871">
              <w:rPr>
                <w:b/>
                <w:bCs/>
              </w:rPr>
              <w:t>Grammar, Punctuation and Spelling</w:t>
            </w:r>
          </w:p>
        </w:tc>
        <w:tc>
          <w:tcPr>
            <w:tcW w:w="2614" w:type="dxa"/>
          </w:tcPr>
          <w:p w14:paraId="03446489" w14:textId="00FDD802" w:rsidR="000071FA" w:rsidRDefault="00CF683F" w:rsidP="00081871">
            <w:pPr>
              <w:tabs>
                <w:tab w:val="left" w:pos="7500"/>
              </w:tabs>
            </w:pPr>
            <w:r>
              <w:t>48</w:t>
            </w:r>
            <w:r w:rsidR="00B50E4F">
              <w:t>%</w:t>
            </w:r>
          </w:p>
          <w:p w14:paraId="7DB4D3D5" w14:textId="2D22F92A" w:rsidR="000071FA" w:rsidRDefault="008F4E16" w:rsidP="00081871">
            <w:pPr>
              <w:tabs>
                <w:tab w:val="left" w:pos="7500"/>
              </w:tabs>
              <w:rPr>
                <w:color w:val="2E74B5" w:themeColor="accent5" w:themeShade="BF"/>
              </w:rPr>
            </w:pPr>
            <w:r>
              <w:rPr>
                <w:color w:val="2E74B5" w:themeColor="accent5" w:themeShade="BF"/>
              </w:rPr>
              <w:t>50</w:t>
            </w:r>
            <w:r w:rsidR="00B50E4F">
              <w:rPr>
                <w:color w:val="2E74B5" w:themeColor="accent5" w:themeShade="BF"/>
              </w:rPr>
              <w:t>%</w:t>
            </w:r>
          </w:p>
          <w:p w14:paraId="253AB51A" w14:textId="2ADA549D" w:rsidR="000071FA" w:rsidRPr="000071FA" w:rsidRDefault="00B50E4F" w:rsidP="00081871">
            <w:pPr>
              <w:tabs>
                <w:tab w:val="left" w:pos="7500"/>
              </w:tabs>
              <w:rPr>
                <w:color w:val="FF0000"/>
              </w:rPr>
            </w:pPr>
            <w:r>
              <w:rPr>
                <w:color w:val="FF0000"/>
              </w:rPr>
              <w:t>72%</w:t>
            </w:r>
          </w:p>
        </w:tc>
        <w:tc>
          <w:tcPr>
            <w:tcW w:w="2614" w:type="dxa"/>
          </w:tcPr>
          <w:p w14:paraId="1E30D2B7" w14:textId="77777777" w:rsidR="00B50E4F" w:rsidRDefault="00B50E4F" w:rsidP="00081871">
            <w:pPr>
              <w:tabs>
                <w:tab w:val="left" w:pos="7500"/>
              </w:tabs>
            </w:pPr>
          </w:p>
          <w:p w14:paraId="58427D96" w14:textId="6C1047DF" w:rsidR="00B50E4F" w:rsidRPr="00742D5E" w:rsidRDefault="00D25F02" w:rsidP="00081871">
            <w:pPr>
              <w:tabs>
                <w:tab w:val="left" w:pos="7500"/>
              </w:tabs>
              <w:rPr>
                <w:color w:val="FF0000"/>
              </w:rPr>
            </w:pPr>
            <w:r>
              <w:rPr>
                <w:color w:val="2E74B5" w:themeColor="accent5" w:themeShade="BF"/>
              </w:rPr>
              <w:t>14</w:t>
            </w:r>
            <w:r w:rsidR="00B50E4F" w:rsidRPr="00F530E0">
              <w:rPr>
                <w:color w:val="2E74B5" w:themeColor="accent5" w:themeShade="BF"/>
              </w:rPr>
              <w:t>%</w:t>
            </w:r>
            <w:r w:rsidR="00B50E4F">
              <w:t xml:space="preserve"> </w:t>
            </w:r>
          </w:p>
        </w:tc>
        <w:tc>
          <w:tcPr>
            <w:tcW w:w="2614" w:type="dxa"/>
            <w:vAlign w:val="center"/>
          </w:tcPr>
          <w:p w14:paraId="1BE69AD0" w14:textId="77777777" w:rsidR="00DB452D" w:rsidRDefault="00DB452D" w:rsidP="00383944">
            <w:pPr>
              <w:tabs>
                <w:tab w:val="left" w:pos="7500"/>
              </w:tabs>
            </w:pPr>
            <w:r>
              <w:t>99.5</w:t>
            </w:r>
            <w:r w:rsidR="00B50E4F">
              <w:t xml:space="preserve"> </w:t>
            </w:r>
          </w:p>
          <w:p w14:paraId="5C514720" w14:textId="0A55E2B3" w:rsidR="00B50E4F" w:rsidRPr="00B50E4F" w:rsidRDefault="00B50E4F" w:rsidP="00383944">
            <w:pPr>
              <w:tabs>
                <w:tab w:val="left" w:pos="7500"/>
              </w:tabs>
              <w:rPr>
                <w:color w:val="FF0000"/>
              </w:rPr>
            </w:pPr>
            <w:r>
              <w:rPr>
                <w:color w:val="FF0000"/>
              </w:rPr>
              <w:t>(105)</w:t>
            </w:r>
          </w:p>
        </w:tc>
      </w:tr>
      <w:tr w:rsidR="00B50E4F" w14:paraId="14D6E003" w14:textId="77777777" w:rsidTr="007B06B6">
        <w:tc>
          <w:tcPr>
            <w:tcW w:w="2614" w:type="dxa"/>
            <w:vAlign w:val="center"/>
          </w:tcPr>
          <w:p w14:paraId="0A8B0F60" w14:textId="77777777" w:rsidR="00B50E4F" w:rsidRDefault="00B50E4F" w:rsidP="007B06B6">
            <w:pPr>
              <w:tabs>
                <w:tab w:val="left" w:pos="7500"/>
              </w:tabs>
              <w:rPr>
                <w:b/>
                <w:bCs/>
              </w:rPr>
            </w:pPr>
          </w:p>
          <w:p w14:paraId="45EF5429" w14:textId="76613715" w:rsidR="00B50E4F" w:rsidRDefault="00B50E4F" w:rsidP="007B06B6">
            <w:pPr>
              <w:tabs>
                <w:tab w:val="left" w:pos="7500"/>
              </w:tabs>
              <w:rPr>
                <w:b/>
                <w:bCs/>
              </w:rPr>
            </w:pPr>
            <w:r w:rsidRPr="00081871">
              <w:rPr>
                <w:b/>
                <w:bCs/>
              </w:rPr>
              <w:t>Science</w:t>
            </w:r>
          </w:p>
          <w:p w14:paraId="3F74E34A" w14:textId="79658013" w:rsidR="00B50E4F" w:rsidRPr="00081871" w:rsidRDefault="00B50E4F" w:rsidP="007B06B6">
            <w:pPr>
              <w:tabs>
                <w:tab w:val="left" w:pos="7500"/>
              </w:tabs>
              <w:rPr>
                <w:b/>
                <w:bCs/>
              </w:rPr>
            </w:pPr>
          </w:p>
        </w:tc>
        <w:tc>
          <w:tcPr>
            <w:tcW w:w="2614" w:type="dxa"/>
          </w:tcPr>
          <w:p w14:paraId="7520544B" w14:textId="184266C2" w:rsidR="000071FA" w:rsidRDefault="005333CB" w:rsidP="00081871">
            <w:pPr>
              <w:tabs>
                <w:tab w:val="left" w:pos="7500"/>
              </w:tabs>
            </w:pPr>
            <w:r>
              <w:t>72</w:t>
            </w:r>
            <w:r w:rsidR="00B50E4F">
              <w:t>%</w:t>
            </w:r>
          </w:p>
          <w:p w14:paraId="76F82118" w14:textId="3024E9D7" w:rsidR="000071FA" w:rsidRDefault="00B2489A" w:rsidP="00081871">
            <w:pPr>
              <w:tabs>
                <w:tab w:val="left" w:pos="7500"/>
              </w:tabs>
              <w:rPr>
                <w:color w:val="2E74B5" w:themeColor="accent5" w:themeShade="BF"/>
              </w:rPr>
            </w:pPr>
            <w:r>
              <w:rPr>
                <w:color w:val="2E74B5" w:themeColor="accent5" w:themeShade="BF"/>
              </w:rPr>
              <w:t>75</w:t>
            </w:r>
            <w:r w:rsidR="00B50E4F">
              <w:rPr>
                <w:color w:val="2E74B5" w:themeColor="accent5" w:themeShade="BF"/>
              </w:rPr>
              <w:t>%</w:t>
            </w:r>
          </w:p>
          <w:p w14:paraId="02407657" w14:textId="27A56E7A" w:rsidR="00B50E4F" w:rsidRPr="00742D5E" w:rsidRDefault="002C4018" w:rsidP="00081871">
            <w:pPr>
              <w:tabs>
                <w:tab w:val="left" w:pos="7500"/>
              </w:tabs>
              <w:rPr>
                <w:color w:val="FF0000"/>
              </w:rPr>
            </w:pPr>
            <w:r>
              <w:rPr>
                <w:color w:val="FF0000"/>
              </w:rPr>
              <w:t>8</w:t>
            </w:r>
            <w:r w:rsidR="00556FE8">
              <w:rPr>
                <w:color w:val="FF0000"/>
              </w:rPr>
              <w:t>1</w:t>
            </w:r>
            <w:r w:rsidR="00B50E4F">
              <w:rPr>
                <w:color w:val="FF0000"/>
              </w:rPr>
              <w:t>%</w:t>
            </w:r>
          </w:p>
        </w:tc>
        <w:tc>
          <w:tcPr>
            <w:tcW w:w="2614" w:type="dxa"/>
            <w:vAlign w:val="center"/>
          </w:tcPr>
          <w:p w14:paraId="7E08881F" w14:textId="3A4893A2" w:rsidR="00B50E4F" w:rsidRDefault="00383944" w:rsidP="00383944">
            <w:pPr>
              <w:tabs>
                <w:tab w:val="left" w:pos="7500"/>
              </w:tabs>
            </w:pPr>
            <w:r>
              <w:t>N / A</w:t>
            </w:r>
          </w:p>
        </w:tc>
        <w:tc>
          <w:tcPr>
            <w:tcW w:w="2614" w:type="dxa"/>
            <w:vAlign w:val="center"/>
          </w:tcPr>
          <w:p w14:paraId="47294207" w14:textId="6601DBB4" w:rsidR="00B50E4F" w:rsidRDefault="00383944" w:rsidP="00383944">
            <w:pPr>
              <w:tabs>
                <w:tab w:val="left" w:pos="7500"/>
              </w:tabs>
            </w:pPr>
            <w:r>
              <w:t>N / A</w:t>
            </w:r>
          </w:p>
        </w:tc>
      </w:tr>
    </w:tbl>
    <w:p w14:paraId="19DF2027" w14:textId="24321C4D" w:rsidR="00081871" w:rsidRDefault="00081871" w:rsidP="00081871">
      <w:pPr>
        <w:tabs>
          <w:tab w:val="left" w:pos="7500"/>
        </w:tabs>
      </w:pPr>
    </w:p>
    <w:p w14:paraId="31746B06" w14:textId="5A3A8FBB" w:rsidR="00742D5E" w:rsidRDefault="00742D5E" w:rsidP="00081871">
      <w:pPr>
        <w:tabs>
          <w:tab w:val="left" w:pos="7500"/>
        </w:tabs>
      </w:pPr>
    </w:p>
    <w:p w14:paraId="5EE8F673" w14:textId="77777777" w:rsidR="004645A2" w:rsidRDefault="004645A2" w:rsidP="00081871">
      <w:pPr>
        <w:tabs>
          <w:tab w:val="left" w:pos="7500"/>
        </w:tabs>
      </w:pPr>
    </w:p>
    <w:p w14:paraId="5FD2D2C4" w14:textId="77777777" w:rsidR="005D61D1" w:rsidRDefault="005D61D1" w:rsidP="00081871">
      <w:pPr>
        <w:tabs>
          <w:tab w:val="left" w:pos="7500"/>
        </w:tabs>
      </w:pPr>
    </w:p>
    <w:p w14:paraId="51FB1A29" w14:textId="77777777" w:rsidR="005D61D1" w:rsidRDefault="005D61D1" w:rsidP="00081871">
      <w:pPr>
        <w:tabs>
          <w:tab w:val="left" w:pos="7500"/>
        </w:tabs>
      </w:pPr>
    </w:p>
    <w:p w14:paraId="51EF045F" w14:textId="77777777" w:rsidR="00742D5E" w:rsidRDefault="00742D5E" w:rsidP="00081871">
      <w:pPr>
        <w:tabs>
          <w:tab w:val="left" w:pos="7500"/>
        </w:tabs>
        <w:rPr>
          <w:b/>
          <w:bCs/>
        </w:rPr>
      </w:pPr>
    </w:p>
    <w:p w14:paraId="4DE33758" w14:textId="7301887F" w:rsidR="00FF578B" w:rsidRPr="00FF578B" w:rsidRDefault="00FF578B" w:rsidP="00081871">
      <w:pPr>
        <w:tabs>
          <w:tab w:val="left" w:pos="7500"/>
        </w:tabs>
        <w:rPr>
          <w:b/>
          <w:bCs/>
        </w:rPr>
      </w:pPr>
      <w:r w:rsidRPr="00FF578B">
        <w:rPr>
          <w:b/>
          <w:bCs/>
        </w:rPr>
        <w:t>Phonics Screening Check</w:t>
      </w:r>
    </w:p>
    <w:p w14:paraId="1B215286" w14:textId="78CC30ED" w:rsidR="00FF578B" w:rsidRDefault="00FF578B" w:rsidP="00081871">
      <w:pPr>
        <w:tabs>
          <w:tab w:val="left" w:pos="7500"/>
        </w:tabs>
      </w:pPr>
      <w:r>
        <w:t xml:space="preserve">The Phonics Screening Check (PSC) is a </w:t>
      </w:r>
      <w:r w:rsidR="00DC57FB">
        <w:t>40-word</w:t>
      </w:r>
      <w:r>
        <w:t xml:space="preserve"> check taken at the end of Year 1. This is to assess children’s ability to decode a range of phonically decodable real and ‘alien’ words. The children must score 32 or more to pass. Those children who do not pass the PSC in Y1 retake it in Year 2.</w:t>
      </w:r>
    </w:p>
    <w:tbl>
      <w:tblPr>
        <w:tblStyle w:val="TableGrid"/>
        <w:tblW w:w="0" w:type="auto"/>
        <w:tblLook w:val="04A0" w:firstRow="1" w:lastRow="0" w:firstColumn="1" w:lastColumn="0" w:noHBand="0" w:noVBand="1"/>
      </w:tblPr>
      <w:tblGrid>
        <w:gridCol w:w="2614"/>
        <w:gridCol w:w="6879"/>
      </w:tblGrid>
      <w:tr w:rsidR="003E28B4" w14:paraId="30F15B56" w14:textId="02B5C19C" w:rsidTr="00D66930">
        <w:tc>
          <w:tcPr>
            <w:tcW w:w="9493" w:type="dxa"/>
            <w:gridSpan w:val="2"/>
          </w:tcPr>
          <w:p w14:paraId="5C30F2C0" w14:textId="250A88F6" w:rsidR="003E28B4" w:rsidRDefault="003E28B4" w:rsidP="003E28B4">
            <w:pPr>
              <w:tabs>
                <w:tab w:val="left" w:pos="7500"/>
              </w:tabs>
              <w:rPr>
                <w:b/>
                <w:bCs/>
                <w:sz w:val="24"/>
                <w:szCs w:val="24"/>
              </w:rPr>
            </w:pPr>
            <w:r>
              <w:rPr>
                <w:b/>
                <w:bCs/>
                <w:sz w:val="24"/>
                <w:szCs w:val="24"/>
              </w:rPr>
              <w:t>Phonics Screening Check 202</w:t>
            </w:r>
            <w:r w:rsidR="006F1BE4">
              <w:rPr>
                <w:b/>
                <w:bCs/>
                <w:sz w:val="24"/>
                <w:szCs w:val="24"/>
              </w:rPr>
              <w:t>4</w:t>
            </w:r>
          </w:p>
          <w:p w14:paraId="5CDD92CE" w14:textId="1A4E04C1" w:rsidR="003E28B4" w:rsidRDefault="003E28B4" w:rsidP="003E28B4">
            <w:pPr>
              <w:tabs>
                <w:tab w:val="left" w:pos="7500"/>
              </w:tabs>
              <w:rPr>
                <w:b/>
                <w:bCs/>
                <w:sz w:val="24"/>
                <w:szCs w:val="24"/>
              </w:rPr>
            </w:pPr>
            <w:r w:rsidRPr="00742D5E">
              <w:rPr>
                <w:b/>
                <w:bCs/>
                <w:sz w:val="24"/>
                <w:szCs w:val="24"/>
              </w:rPr>
              <w:t xml:space="preserve">Cohort </w:t>
            </w:r>
            <w:r w:rsidR="002A1B59">
              <w:rPr>
                <w:b/>
                <w:bCs/>
                <w:sz w:val="24"/>
                <w:szCs w:val="24"/>
              </w:rPr>
              <w:t>3</w:t>
            </w:r>
            <w:r w:rsidR="003B2E8D">
              <w:rPr>
                <w:b/>
                <w:bCs/>
                <w:sz w:val="24"/>
                <w:szCs w:val="24"/>
              </w:rPr>
              <w:t>0</w:t>
            </w:r>
            <w:r w:rsidRPr="00742D5E">
              <w:rPr>
                <w:b/>
                <w:bCs/>
                <w:sz w:val="24"/>
                <w:szCs w:val="24"/>
              </w:rPr>
              <w:t xml:space="preserve"> pupils</w:t>
            </w:r>
            <w:r>
              <w:rPr>
                <w:b/>
                <w:bCs/>
                <w:sz w:val="24"/>
                <w:szCs w:val="24"/>
              </w:rPr>
              <w:t xml:space="preserve"> including Specialist Resource Centre </w:t>
            </w:r>
          </w:p>
          <w:p w14:paraId="11D127EF" w14:textId="1D9D3876" w:rsidR="003E28B4" w:rsidRPr="00224A8E" w:rsidRDefault="003E28B4" w:rsidP="00923CE7">
            <w:pPr>
              <w:tabs>
                <w:tab w:val="left" w:pos="7500"/>
              </w:tabs>
              <w:rPr>
                <w:rFonts w:ascii="Calibri" w:hAnsi="Calibri" w:cs="Calibri"/>
                <w:b/>
              </w:rPr>
            </w:pPr>
            <w:r>
              <w:rPr>
                <w:b/>
                <w:bCs/>
                <w:color w:val="2E74B5" w:themeColor="accent5" w:themeShade="BF"/>
                <w:sz w:val="24"/>
                <w:szCs w:val="24"/>
              </w:rPr>
              <w:t>(</w:t>
            </w:r>
            <w:r w:rsidR="007F192A">
              <w:rPr>
                <w:b/>
                <w:bCs/>
                <w:color w:val="2E74B5" w:themeColor="accent5" w:themeShade="BF"/>
                <w:sz w:val="24"/>
                <w:szCs w:val="24"/>
              </w:rPr>
              <w:t>2</w:t>
            </w:r>
            <w:r w:rsidR="002A1B59">
              <w:rPr>
                <w:b/>
                <w:bCs/>
                <w:color w:val="2E74B5" w:themeColor="accent5" w:themeShade="BF"/>
                <w:sz w:val="24"/>
                <w:szCs w:val="24"/>
              </w:rPr>
              <w:t>3</w:t>
            </w:r>
            <w:r w:rsidRPr="00F530E0">
              <w:rPr>
                <w:b/>
                <w:bCs/>
                <w:color w:val="2E74B5" w:themeColor="accent5" w:themeShade="BF"/>
                <w:sz w:val="24"/>
                <w:szCs w:val="24"/>
              </w:rPr>
              <w:t xml:space="preserve"> pupils excluding centre</w:t>
            </w:r>
            <w:r>
              <w:rPr>
                <w:b/>
                <w:bCs/>
                <w:color w:val="2E74B5" w:themeColor="accent5" w:themeShade="BF"/>
                <w:sz w:val="24"/>
                <w:szCs w:val="24"/>
              </w:rPr>
              <w:t>)</w:t>
            </w:r>
          </w:p>
        </w:tc>
      </w:tr>
      <w:tr w:rsidR="0038262A" w14:paraId="1FAEB816" w14:textId="55C2D0B3" w:rsidTr="007B06B6">
        <w:tc>
          <w:tcPr>
            <w:tcW w:w="2614" w:type="dxa"/>
            <w:vAlign w:val="center"/>
          </w:tcPr>
          <w:p w14:paraId="3649C916" w14:textId="54457629" w:rsidR="0038262A" w:rsidRPr="00BD4B8B" w:rsidRDefault="0038262A" w:rsidP="007B06B6">
            <w:pPr>
              <w:tabs>
                <w:tab w:val="left" w:pos="7500"/>
              </w:tabs>
              <w:rPr>
                <w:b/>
                <w:bCs/>
              </w:rPr>
            </w:pPr>
            <w:r w:rsidRPr="00BD4B8B">
              <w:rPr>
                <w:b/>
                <w:bCs/>
              </w:rPr>
              <w:t>Year 1</w:t>
            </w:r>
          </w:p>
        </w:tc>
        <w:tc>
          <w:tcPr>
            <w:tcW w:w="6879" w:type="dxa"/>
          </w:tcPr>
          <w:p w14:paraId="611AD0C4" w14:textId="6B7B7EB5" w:rsidR="0038262A" w:rsidRDefault="00B77BD6" w:rsidP="00923CE7">
            <w:pPr>
              <w:tabs>
                <w:tab w:val="left" w:pos="7500"/>
              </w:tabs>
              <w:rPr>
                <w:rFonts w:ascii="Calibri" w:hAnsi="Calibri" w:cs="Calibri"/>
                <w:color w:val="2E74B5" w:themeColor="accent5" w:themeShade="BF"/>
              </w:rPr>
            </w:pPr>
            <w:r>
              <w:rPr>
                <w:rFonts w:ascii="Calibri" w:hAnsi="Calibri" w:cs="Calibri"/>
              </w:rPr>
              <w:t>50</w:t>
            </w:r>
            <w:r w:rsidR="00D533F3" w:rsidRPr="00FE0E4E">
              <w:rPr>
                <w:rFonts w:ascii="Calibri" w:hAnsi="Calibri" w:cs="Calibri"/>
              </w:rPr>
              <w:t>%</w:t>
            </w:r>
          </w:p>
          <w:p w14:paraId="1EAB6AF0" w14:textId="2371EF6E" w:rsidR="00D533F3" w:rsidRDefault="006D705E" w:rsidP="00923CE7">
            <w:pPr>
              <w:tabs>
                <w:tab w:val="left" w:pos="7500"/>
              </w:tabs>
              <w:rPr>
                <w:rFonts w:ascii="Calibri" w:hAnsi="Calibri" w:cs="Calibri"/>
                <w:color w:val="2E74B5" w:themeColor="accent5" w:themeShade="BF"/>
              </w:rPr>
            </w:pPr>
            <w:r>
              <w:rPr>
                <w:rFonts w:ascii="Calibri" w:hAnsi="Calibri" w:cs="Calibri"/>
                <w:color w:val="2E74B5" w:themeColor="accent5" w:themeShade="BF"/>
              </w:rPr>
              <w:t>68.2</w:t>
            </w:r>
            <w:r w:rsidR="00E26466">
              <w:rPr>
                <w:rFonts w:ascii="Calibri" w:hAnsi="Calibri" w:cs="Calibri"/>
                <w:color w:val="2E74B5" w:themeColor="accent5" w:themeShade="BF"/>
              </w:rPr>
              <w:t>%</w:t>
            </w:r>
          </w:p>
          <w:p w14:paraId="2DCD3AC5" w14:textId="2B31B1A9" w:rsidR="00D533F3" w:rsidRPr="007D2591" w:rsidRDefault="00A54F62" w:rsidP="00923CE7">
            <w:pPr>
              <w:tabs>
                <w:tab w:val="left" w:pos="7500"/>
              </w:tabs>
              <w:rPr>
                <w:rFonts w:ascii="Calibri" w:hAnsi="Calibri" w:cs="Calibri"/>
                <w:color w:val="2E74B5" w:themeColor="accent5" w:themeShade="BF"/>
              </w:rPr>
            </w:pPr>
            <w:r>
              <w:rPr>
                <w:rFonts w:ascii="Calibri" w:hAnsi="Calibri" w:cs="Calibri"/>
                <w:color w:val="FF0000"/>
              </w:rPr>
              <w:t>80</w:t>
            </w:r>
            <w:r w:rsidR="00D533F3" w:rsidRPr="00D533F3">
              <w:rPr>
                <w:rFonts w:ascii="Calibri" w:hAnsi="Calibri" w:cs="Calibri"/>
                <w:color w:val="FF0000"/>
              </w:rPr>
              <w:t>%</w:t>
            </w:r>
          </w:p>
        </w:tc>
      </w:tr>
    </w:tbl>
    <w:p w14:paraId="39565EC0" w14:textId="77777777" w:rsidR="00FF578B" w:rsidRDefault="00FF578B" w:rsidP="00081871">
      <w:pPr>
        <w:tabs>
          <w:tab w:val="left" w:pos="7500"/>
        </w:tabs>
      </w:pPr>
    </w:p>
    <w:p w14:paraId="4638F57C" w14:textId="35FA9E12" w:rsidR="00BD4B8B" w:rsidRPr="004362FA" w:rsidRDefault="00BD4B8B" w:rsidP="00081871">
      <w:pPr>
        <w:tabs>
          <w:tab w:val="left" w:pos="7500"/>
        </w:tabs>
        <w:rPr>
          <w:b/>
          <w:bCs/>
        </w:rPr>
      </w:pPr>
      <w:r w:rsidRPr="004362FA">
        <w:rPr>
          <w:b/>
          <w:bCs/>
        </w:rPr>
        <w:t>EYFS – Good Level of development (GLD)</w:t>
      </w:r>
    </w:p>
    <w:p w14:paraId="198ED3AD" w14:textId="75270491" w:rsidR="004362FA" w:rsidRDefault="004362FA" w:rsidP="00081871">
      <w:pPr>
        <w:tabs>
          <w:tab w:val="left" w:pos="7500"/>
        </w:tabs>
      </w:pPr>
      <w:r>
        <w:t xml:space="preserve">At the end of reception, children are assessed against the Early Learning goals in 17 areas of the Early Years Curriculum using teacher judgements based on observations of children in their </w:t>
      </w:r>
      <w:r w:rsidR="005F7A02">
        <w:t>day-to-day</w:t>
      </w:r>
      <w:r>
        <w:t xml:space="preserve"> learning. </w:t>
      </w:r>
    </w:p>
    <w:p w14:paraId="70CD7FE8" w14:textId="77777777" w:rsidR="00635C96" w:rsidRDefault="004362FA" w:rsidP="00081871">
      <w:pPr>
        <w:tabs>
          <w:tab w:val="left" w:pos="7500"/>
        </w:tabs>
      </w:pPr>
      <w:r>
        <w:t xml:space="preserve">Children are defined as having reached a good level of development at the end of the EYFS if they have achieved at least the expected level in: </w:t>
      </w:r>
    </w:p>
    <w:p w14:paraId="07E8552F" w14:textId="77777777" w:rsidR="00635C96" w:rsidRDefault="004362FA" w:rsidP="00081871">
      <w:pPr>
        <w:pStyle w:val="ListParagraph"/>
        <w:numPr>
          <w:ilvl w:val="0"/>
          <w:numId w:val="1"/>
        </w:numPr>
        <w:tabs>
          <w:tab w:val="left" w:pos="7500"/>
        </w:tabs>
      </w:pPr>
      <w:r>
        <w:t xml:space="preserve">The early learning goals (ELGs) in the prime areas of learning (personal, social and emotional development; physical development; and communication and language) and </w:t>
      </w:r>
    </w:p>
    <w:p w14:paraId="2B506A55" w14:textId="10155C85" w:rsidR="004362FA" w:rsidRDefault="00635C96" w:rsidP="00081871">
      <w:pPr>
        <w:pStyle w:val="ListParagraph"/>
        <w:numPr>
          <w:ilvl w:val="0"/>
          <w:numId w:val="1"/>
        </w:numPr>
        <w:tabs>
          <w:tab w:val="left" w:pos="7500"/>
        </w:tabs>
      </w:pPr>
      <w:r>
        <w:t>T</w:t>
      </w:r>
      <w:r w:rsidR="004362FA">
        <w:t>he early learning goals in the specific areas of mathematics and literacy.</w:t>
      </w:r>
    </w:p>
    <w:tbl>
      <w:tblPr>
        <w:tblStyle w:val="TableGrid"/>
        <w:tblW w:w="0" w:type="auto"/>
        <w:tblLook w:val="04A0" w:firstRow="1" w:lastRow="0" w:firstColumn="1" w:lastColumn="0" w:noHBand="0" w:noVBand="1"/>
      </w:tblPr>
      <w:tblGrid>
        <w:gridCol w:w="4746"/>
        <w:gridCol w:w="4747"/>
      </w:tblGrid>
      <w:tr w:rsidR="00773DE7" w:rsidRPr="00224A8E" w14:paraId="5D3C9BAE" w14:textId="77777777" w:rsidTr="00A54F62">
        <w:tc>
          <w:tcPr>
            <w:tcW w:w="4746" w:type="dxa"/>
          </w:tcPr>
          <w:p w14:paraId="37357ECA" w14:textId="54257271" w:rsidR="00773DE7" w:rsidRDefault="00773DE7" w:rsidP="00E973C8">
            <w:pPr>
              <w:tabs>
                <w:tab w:val="left" w:pos="7500"/>
              </w:tabs>
              <w:rPr>
                <w:b/>
                <w:bCs/>
                <w:sz w:val="24"/>
                <w:szCs w:val="24"/>
              </w:rPr>
            </w:pPr>
            <w:r>
              <w:rPr>
                <w:b/>
                <w:bCs/>
                <w:sz w:val="24"/>
                <w:szCs w:val="24"/>
              </w:rPr>
              <w:t>EYFS - GLD 202</w:t>
            </w:r>
            <w:r w:rsidR="006F1BE4">
              <w:rPr>
                <w:b/>
                <w:bCs/>
                <w:sz w:val="24"/>
                <w:szCs w:val="24"/>
              </w:rPr>
              <w:t>4</w:t>
            </w:r>
          </w:p>
          <w:p w14:paraId="7DB909CE" w14:textId="2100928A" w:rsidR="00773DE7" w:rsidRDefault="00773DE7" w:rsidP="00E973C8">
            <w:pPr>
              <w:tabs>
                <w:tab w:val="left" w:pos="7500"/>
              </w:tabs>
              <w:rPr>
                <w:b/>
                <w:bCs/>
                <w:sz w:val="24"/>
                <w:szCs w:val="24"/>
              </w:rPr>
            </w:pPr>
            <w:r w:rsidRPr="00742D5E">
              <w:rPr>
                <w:b/>
                <w:bCs/>
                <w:sz w:val="24"/>
                <w:szCs w:val="24"/>
              </w:rPr>
              <w:t xml:space="preserve">Cohort </w:t>
            </w:r>
            <w:r w:rsidR="001C681B">
              <w:rPr>
                <w:b/>
                <w:bCs/>
                <w:sz w:val="24"/>
                <w:szCs w:val="24"/>
              </w:rPr>
              <w:t>2</w:t>
            </w:r>
            <w:r w:rsidR="00F03275">
              <w:rPr>
                <w:b/>
                <w:bCs/>
                <w:sz w:val="24"/>
                <w:szCs w:val="24"/>
              </w:rPr>
              <w:t>7</w:t>
            </w:r>
            <w:r w:rsidRPr="00742D5E">
              <w:rPr>
                <w:b/>
                <w:bCs/>
                <w:sz w:val="24"/>
                <w:szCs w:val="24"/>
              </w:rPr>
              <w:t xml:space="preserve"> pupils</w:t>
            </w:r>
            <w:r>
              <w:rPr>
                <w:b/>
                <w:bCs/>
                <w:sz w:val="24"/>
                <w:szCs w:val="24"/>
              </w:rPr>
              <w:t xml:space="preserve"> including Specialist Resource Centre </w:t>
            </w:r>
          </w:p>
          <w:p w14:paraId="482BCBFB" w14:textId="4C00D6B9" w:rsidR="00773DE7" w:rsidRDefault="00773DE7" w:rsidP="00E973C8">
            <w:pPr>
              <w:tabs>
                <w:tab w:val="left" w:pos="7500"/>
              </w:tabs>
              <w:rPr>
                <w:b/>
                <w:bCs/>
                <w:sz w:val="24"/>
                <w:szCs w:val="24"/>
              </w:rPr>
            </w:pPr>
            <w:r>
              <w:rPr>
                <w:b/>
                <w:bCs/>
                <w:color w:val="2E74B5" w:themeColor="accent5" w:themeShade="BF"/>
                <w:sz w:val="24"/>
                <w:szCs w:val="24"/>
              </w:rPr>
              <w:t>(</w:t>
            </w:r>
            <w:r w:rsidR="00745C02">
              <w:rPr>
                <w:b/>
                <w:bCs/>
                <w:color w:val="2E74B5" w:themeColor="accent5" w:themeShade="BF"/>
                <w:sz w:val="24"/>
                <w:szCs w:val="24"/>
              </w:rPr>
              <w:t>2</w:t>
            </w:r>
            <w:r w:rsidR="00A54F62">
              <w:rPr>
                <w:b/>
                <w:bCs/>
                <w:color w:val="2E74B5" w:themeColor="accent5" w:themeShade="BF"/>
                <w:sz w:val="24"/>
                <w:szCs w:val="24"/>
              </w:rPr>
              <w:t>4</w:t>
            </w:r>
            <w:r w:rsidRPr="00F530E0">
              <w:rPr>
                <w:b/>
                <w:bCs/>
                <w:color w:val="2E74B5" w:themeColor="accent5" w:themeShade="BF"/>
                <w:sz w:val="24"/>
                <w:szCs w:val="24"/>
              </w:rPr>
              <w:t xml:space="preserve"> pupils excluding centre</w:t>
            </w:r>
            <w:r>
              <w:rPr>
                <w:b/>
                <w:bCs/>
                <w:color w:val="2E74B5" w:themeColor="accent5" w:themeShade="BF"/>
                <w:sz w:val="24"/>
                <w:szCs w:val="24"/>
              </w:rPr>
              <w:t>)</w:t>
            </w:r>
          </w:p>
        </w:tc>
        <w:tc>
          <w:tcPr>
            <w:tcW w:w="4747" w:type="dxa"/>
            <w:vAlign w:val="center"/>
          </w:tcPr>
          <w:p w14:paraId="1D9D2013" w14:textId="32FA56E4" w:rsidR="00773DE7" w:rsidRDefault="00F03275" w:rsidP="00A54F62">
            <w:pPr>
              <w:tabs>
                <w:tab w:val="left" w:pos="7500"/>
              </w:tabs>
              <w:rPr>
                <w:rFonts w:ascii="Calibri" w:hAnsi="Calibri" w:cs="Calibri"/>
                <w:bCs/>
              </w:rPr>
            </w:pPr>
            <w:r>
              <w:rPr>
                <w:rFonts w:ascii="Calibri" w:hAnsi="Calibri" w:cs="Calibri"/>
                <w:bCs/>
              </w:rPr>
              <w:t>59</w:t>
            </w:r>
            <w:r w:rsidR="001C681B" w:rsidRPr="001C681B">
              <w:rPr>
                <w:rFonts w:ascii="Calibri" w:hAnsi="Calibri" w:cs="Calibri"/>
                <w:bCs/>
              </w:rPr>
              <w:t>%</w:t>
            </w:r>
          </w:p>
          <w:p w14:paraId="749CD14B" w14:textId="38E4A686" w:rsidR="001C681B" w:rsidRDefault="00A54F62" w:rsidP="00A54F62">
            <w:pPr>
              <w:tabs>
                <w:tab w:val="left" w:pos="7500"/>
              </w:tabs>
              <w:rPr>
                <w:color w:val="2E74B5" w:themeColor="accent5" w:themeShade="BF"/>
                <w:sz w:val="24"/>
                <w:szCs w:val="24"/>
              </w:rPr>
            </w:pPr>
            <w:r>
              <w:rPr>
                <w:color w:val="2E74B5" w:themeColor="accent5" w:themeShade="BF"/>
                <w:sz w:val="24"/>
                <w:szCs w:val="24"/>
              </w:rPr>
              <w:t>6</w:t>
            </w:r>
            <w:r w:rsidR="000B4A0D">
              <w:rPr>
                <w:color w:val="2E74B5" w:themeColor="accent5" w:themeShade="BF"/>
                <w:sz w:val="24"/>
                <w:szCs w:val="24"/>
              </w:rPr>
              <w:t>7</w:t>
            </w:r>
            <w:r w:rsidR="00321BE6" w:rsidRPr="00321BE6">
              <w:rPr>
                <w:color w:val="2E74B5" w:themeColor="accent5" w:themeShade="BF"/>
                <w:sz w:val="24"/>
                <w:szCs w:val="24"/>
              </w:rPr>
              <w:t>%</w:t>
            </w:r>
          </w:p>
          <w:p w14:paraId="36E729D5" w14:textId="6F75EB80" w:rsidR="00F03275" w:rsidRPr="00F03275" w:rsidRDefault="00F03275" w:rsidP="00A54F62">
            <w:pPr>
              <w:tabs>
                <w:tab w:val="left" w:pos="7500"/>
              </w:tabs>
              <w:rPr>
                <w:rFonts w:ascii="Calibri" w:hAnsi="Calibri" w:cs="Calibri"/>
                <w:color w:val="FF0000"/>
              </w:rPr>
            </w:pPr>
            <w:r>
              <w:rPr>
                <w:rFonts w:ascii="Calibri" w:hAnsi="Calibri" w:cs="Calibri"/>
                <w:color w:val="FF0000"/>
              </w:rPr>
              <w:t>68%</w:t>
            </w:r>
          </w:p>
        </w:tc>
      </w:tr>
    </w:tbl>
    <w:p w14:paraId="53E1B6EF" w14:textId="77777777" w:rsidR="00AA0B7B" w:rsidRPr="00081871" w:rsidRDefault="00AA0B7B" w:rsidP="00745C02">
      <w:pPr>
        <w:tabs>
          <w:tab w:val="left" w:pos="7500"/>
        </w:tabs>
      </w:pPr>
    </w:p>
    <w:sectPr w:rsidR="00AA0B7B" w:rsidRPr="00081871" w:rsidSect="000818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01A8A"/>
    <w:multiLevelType w:val="hybridMultilevel"/>
    <w:tmpl w:val="C2C44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71"/>
    <w:rsid w:val="00006A4D"/>
    <w:rsid w:val="000071FA"/>
    <w:rsid w:val="00081871"/>
    <w:rsid w:val="000B4A0D"/>
    <w:rsid w:val="00131C58"/>
    <w:rsid w:val="00134F79"/>
    <w:rsid w:val="001374B0"/>
    <w:rsid w:val="00167213"/>
    <w:rsid w:val="0018534B"/>
    <w:rsid w:val="001C681B"/>
    <w:rsid w:val="00256C2C"/>
    <w:rsid w:val="002A1A5D"/>
    <w:rsid w:val="002A1B59"/>
    <w:rsid w:val="002C0868"/>
    <w:rsid w:val="002C4018"/>
    <w:rsid w:val="00321BE6"/>
    <w:rsid w:val="0038262A"/>
    <w:rsid w:val="00383944"/>
    <w:rsid w:val="003B2E8D"/>
    <w:rsid w:val="003C3C61"/>
    <w:rsid w:val="003E28B4"/>
    <w:rsid w:val="003E76B7"/>
    <w:rsid w:val="004362FA"/>
    <w:rsid w:val="00456010"/>
    <w:rsid w:val="004645A2"/>
    <w:rsid w:val="004702E1"/>
    <w:rsid w:val="004845FD"/>
    <w:rsid w:val="004D19C7"/>
    <w:rsid w:val="005333CB"/>
    <w:rsid w:val="00556FE8"/>
    <w:rsid w:val="00583243"/>
    <w:rsid w:val="005965C7"/>
    <w:rsid w:val="005A2116"/>
    <w:rsid w:val="005C2E63"/>
    <w:rsid w:val="005D61D1"/>
    <w:rsid w:val="005F7A02"/>
    <w:rsid w:val="0063115C"/>
    <w:rsid w:val="00635C96"/>
    <w:rsid w:val="0066509A"/>
    <w:rsid w:val="006845AB"/>
    <w:rsid w:val="006B05EE"/>
    <w:rsid w:val="006D705E"/>
    <w:rsid w:val="006E7300"/>
    <w:rsid w:val="006F1BE4"/>
    <w:rsid w:val="007171DF"/>
    <w:rsid w:val="00730108"/>
    <w:rsid w:val="00742D5E"/>
    <w:rsid w:val="00745C02"/>
    <w:rsid w:val="0076385F"/>
    <w:rsid w:val="00773DE7"/>
    <w:rsid w:val="00776EB2"/>
    <w:rsid w:val="00787F1F"/>
    <w:rsid w:val="007B06B6"/>
    <w:rsid w:val="007D2591"/>
    <w:rsid w:val="007F192A"/>
    <w:rsid w:val="00827083"/>
    <w:rsid w:val="00842215"/>
    <w:rsid w:val="008A380B"/>
    <w:rsid w:val="008C7CA7"/>
    <w:rsid w:val="008F1E73"/>
    <w:rsid w:val="008F32B4"/>
    <w:rsid w:val="008F4E16"/>
    <w:rsid w:val="00906DF5"/>
    <w:rsid w:val="00923CE7"/>
    <w:rsid w:val="00940747"/>
    <w:rsid w:val="0097095E"/>
    <w:rsid w:val="0099439C"/>
    <w:rsid w:val="00A520F1"/>
    <w:rsid w:val="00A54F62"/>
    <w:rsid w:val="00A83E7B"/>
    <w:rsid w:val="00AA0B7B"/>
    <w:rsid w:val="00AC1A4D"/>
    <w:rsid w:val="00B2489A"/>
    <w:rsid w:val="00B372B5"/>
    <w:rsid w:val="00B50E4F"/>
    <w:rsid w:val="00B51D73"/>
    <w:rsid w:val="00B77BD6"/>
    <w:rsid w:val="00B81761"/>
    <w:rsid w:val="00BD15A6"/>
    <w:rsid w:val="00BD4B8B"/>
    <w:rsid w:val="00BE4E6B"/>
    <w:rsid w:val="00C243CF"/>
    <w:rsid w:val="00C6406A"/>
    <w:rsid w:val="00CB04CE"/>
    <w:rsid w:val="00CB1F63"/>
    <w:rsid w:val="00CC02AB"/>
    <w:rsid w:val="00CD23A8"/>
    <w:rsid w:val="00CD7D71"/>
    <w:rsid w:val="00CF683F"/>
    <w:rsid w:val="00D239CD"/>
    <w:rsid w:val="00D25F02"/>
    <w:rsid w:val="00D533F3"/>
    <w:rsid w:val="00DB452D"/>
    <w:rsid w:val="00DC57FB"/>
    <w:rsid w:val="00DE255F"/>
    <w:rsid w:val="00E26466"/>
    <w:rsid w:val="00E43C33"/>
    <w:rsid w:val="00E51489"/>
    <w:rsid w:val="00F02798"/>
    <w:rsid w:val="00F03275"/>
    <w:rsid w:val="00F20EBB"/>
    <w:rsid w:val="00F530E0"/>
    <w:rsid w:val="00F93D8E"/>
    <w:rsid w:val="00FB3E91"/>
    <w:rsid w:val="00FC008C"/>
    <w:rsid w:val="00FE0E4E"/>
    <w:rsid w:val="00FF5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FA7A"/>
  <w15:chartTrackingRefBased/>
  <w15:docId w15:val="{959EDA43-F90C-4D67-B705-87E19ECBB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1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96D6B0A3E3B42A8F754A3BC10923B" ma:contentTypeVersion="18" ma:contentTypeDescription="Create a new document." ma:contentTypeScope="" ma:versionID="6967873846610242cc70dc0886e162c6">
  <xsd:schema xmlns:xsd="http://www.w3.org/2001/XMLSchema" xmlns:xs="http://www.w3.org/2001/XMLSchema" xmlns:p="http://schemas.microsoft.com/office/2006/metadata/properties" xmlns:ns2="4130f798-555d-4283-877d-47ca23db3ba0" xmlns:ns3="beab8350-a27f-4811-8d61-4b617fe51f81" targetNamespace="http://schemas.microsoft.com/office/2006/metadata/properties" ma:root="true" ma:fieldsID="83b9f72aaebed8d62e154685198cd71d" ns2:_="" ns3:_="">
    <xsd:import namespace="4130f798-555d-4283-877d-47ca23db3ba0"/>
    <xsd:import namespace="beab8350-a27f-4811-8d61-4b617fe51f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0f798-555d-4283-877d-47ca23db3b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852953-3c54-43a3-8143-5d6c744f9f30}" ma:internalName="TaxCatchAll" ma:showField="CatchAllData" ma:web="4130f798-555d-4283-877d-47ca23db3b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ab8350-a27f-4811-8d61-4b617fe51f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5eb0bf6-483a-4e9b-9636-5eee4a0e49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130f798-555d-4283-877d-47ca23db3ba0" xsi:nil="true"/>
    <lcf76f155ced4ddcb4097134ff3c332f xmlns="beab8350-a27f-4811-8d61-4b617fe51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43EC84-8460-46B4-AB75-99DB6FAE9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0f798-555d-4283-877d-47ca23db3ba0"/>
    <ds:schemaRef ds:uri="beab8350-a27f-4811-8d61-4b617fe51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E1F206-8E01-4E5B-9D44-7695E425671D}">
  <ds:schemaRefs>
    <ds:schemaRef ds:uri="http://schemas.openxmlformats.org/officeDocument/2006/bibliography"/>
  </ds:schemaRefs>
</ds:datastoreItem>
</file>

<file path=customXml/itemProps3.xml><?xml version="1.0" encoding="utf-8"?>
<ds:datastoreItem xmlns:ds="http://schemas.openxmlformats.org/officeDocument/2006/customXml" ds:itemID="{6212C7A7-7429-4694-8169-D53922BB10F5}">
  <ds:schemaRefs>
    <ds:schemaRef ds:uri="http://schemas.microsoft.com/sharepoint/v3/contenttype/forms"/>
  </ds:schemaRefs>
</ds:datastoreItem>
</file>

<file path=customXml/itemProps4.xml><?xml version="1.0" encoding="utf-8"?>
<ds:datastoreItem xmlns:ds="http://schemas.openxmlformats.org/officeDocument/2006/customXml" ds:itemID="{2074A606-510C-45AE-BA6F-E3EF22116D91}">
  <ds:schemaRefs>
    <ds:schemaRef ds:uri="http://schemas.microsoft.com/office/2006/metadata/properties"/>
    <ds:schemaRef ds:uri="http://schemas.microsoft.com/office/infopath/2007/PartnerControls"/>
    <ds:schemaRef ds:uri="4130f798-555d-4283-877d-47ca23db3ba0"/>
    <ds:schemaRef ds:uri="beab8350-a27f-4811-8d61-4b617fe51f81"/>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SANDMAT</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Tonks</dc:creator>
  <cp:keywords/>
  <dc:description/>
  <cp:lastModifiedBy>Pete Hales</cp:lastModifiedBy>
  <cp:revision>35</cp:revision>
  <dcterms:created xsi:type="dcterms:W3CDTF">2024-06-27T08:46:00Z</dcterms:created>
  <dcterms:modified xsi:type="dcterms:W3CDTF">2024-07-15T14:10:00Z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0x010100FBF96D6B0A3E3B42A8F754A3BC10923B</vt:lpwstr>
  </property>
  <property fmtid="{D5CDD505-2E9C-101B-9397-08002B2CF9AE}" pid="3" name="MediaServiceImageTags">
    <vt:lpwstr/>
  </property>
</Properties>
</file>